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60" w:rsidRDefault="00113960" w:rsidP="00113960">
      <w:pPr>
        <w:shd w:val="clear" w:color="auto" w:fill="F5F5F5"/>
        <w:overflowPunct w:val="0"/>
        <w:autoSpaceDE w:val="0"/>
        <w:spacing w:after="3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139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9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proofErr w:type="spellStart"/>
      <w:r w:rsidRPr="001139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Шановний</w:t>
      </w:r>
      <w:proofErr w:type="spellEnd"/>
      <w:r w:rsidRPr="001139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139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акціонер</w:t>
      </w:r>
      <w:proofErr w:type="spellEnd"/>
      <w:r w:rsidRPr="001139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!</w:t>
      </w:r>
    </w:p>
    <w:p w:rsidR="004628FA" w:rsidRPr="004628FA" w:rsidRDefault="004628FA" w:rsidP="004628FA">
      <w:pPr>
        <w:shd w:val="clear" w:color="auto" w:fill="F5F5F5"/>
        <w:spacing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r w:rsidR="00E95D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РИВАТНЕ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АКЦ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ОНЕРНЕ ТОВАРИСТВО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"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ЗМА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Ї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</w:t>
      </w:r>
      <w:r w:rsidR="00E95D5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АГРОШЛЯХБУД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</w:t>
      </w:r>
      <w:r w:rsidR="00803E3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(код за ЄДРПОУ: </w:t>
      </w:r>
      <w:r w:rsidR="00E95D53" w:rsidRPr="003542BC">
        <w:rPr>
          <w:rFonts w:ascii="Arial" w:hAnsi="Arial" w:cs="Arial"/>
          <w:lang w:val="uk-UA"/>
        </w:rPr>
        <w:t>03579058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місцезнаходження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686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Одесь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 обл.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</w:t>
      </w:r>
      <w:proofErr w:type="gram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вул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Ліс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.5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повідомляє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A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відбудуться</w:t>
      </w:r>
      <w:proofErr w:type="spellEnd"/>
      <w:r w:rsidRPr="00CA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27 </w:t>
      </w:r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квітня</w:t>
      </w:r>
      <w:proofErr w:type="spellEnd"/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2018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року об 1</w:t>
      </w:r>
      <w:r w:rsidR="00157C57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3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:00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годині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за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68670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Одесь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ка обл.,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 xml:space="preserve">Ізмаїльський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р-</w:t>
      </w:r>
      <w:r w:rsidR="00CA4D13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о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н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CA4D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с.Саф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’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яни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,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вул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Зелена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буд</w:t>
      </w:r>
      <w:proofErr w:type="spellEnd"/>
      <w:r w:rsidR="00157C57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.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34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аб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№2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113960" w:rsidRDefault="00113960" w:rsidP="00113960">
      <w:pPr>
        <w:shd w:val="clear" w:color="auto" w:fill="F5F5F5"/>
        <w:spacing w:after="3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</w:t>
      </w:r>
      <w:proofErr w:type="spellStart"/>
      <w:r w:rsidR="004628FA"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Перелік</w:t>
      </w:r>
      <w:proofErr w:type="spellEnd"/>
      <w:r w:rsidR="004628FA"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проекту порядку денного: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113960" w:rsidRPr="00113960" w:rsidRDefault="004628FA" w:rsidP="00113960">
      <w:pPr>
        <w:pStyle w:val="a4"/>
        <w:numPr>
          <w:ilvl w:val="0"/>
          <w:numId w:val="2"/>
        </w:numPr>
        <w:shd w:val="clear" w:color="auto" w:fill="F5F5F5"/>
        <w:spacing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Обрання</w:t>
      </w:r>
      <w:proofErr w:type="spell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голови</w:t>
      </w:r>
      <w:proofErr w:type="spell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членів</w:t>
      </w:r>
      <w:proofErr w:type="spell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лічильної</w:t>
      </w:r>
      <w:proofErr w:type="spell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</w:t>
      </w:r>
      <w:proofErr w:type="gramStart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113960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4628FA" w:rsidRPr="00113960" w:rsidRDefault="00113960" w:rsidP="00113960">
      <w:pPr>
        <w:pStyle w:val="a4"/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2.     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та способу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бюлетеню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 w:rsidRPr="00113960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 w:rsidRPr="00113960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 w:rsidRPr="00113960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 w:rsidRPr="00113960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                                                             </w:t>
      </w:r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3.      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голови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секретаря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</w:t>
      </w:r>
      <w:proofErr w:type="gram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(регламенту </w:t>
      </w:r>
      <w:proofErr w:type="spellStart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1139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CE53F2" w:rsidRPr="00CE53F2" w:rsidRDefault="00CE53F2" w:rsidP="00803E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="004628FA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4.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Розгляд звіту </w:t>
      </w:r>
      <w:r w:rsid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Наглядової ради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Ізмаїлагрошляхбуд»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за</w:t>
      </w:r>
      <w:proofErr w:type="spellEnd"/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2017 рік</w:t>
      </w:r>
      <w:r w:rsidR="00CA4D13">
        <w:rPr>
          <w:rFonts w:ascii="Times New Roman" w:eastAsia="TimesNewRomanPSMT" w:hAnsi="Times New Roman" w:cs="Times New Roman"/>
          <w:sz w:val="18"/>
          <w:szCs w:val="18"/>
          <w:lang w:val="uk-UA"/>
        </w:rPr>
        <w:t xml:space="preserve"> </w:t>
      </w:r>
      <w:r w:rsidR="00CA4D13" w:rsidRPr="00CE53F2">
        <w:rPr>
          <w:rFonts w:ascii="Arial" w:eastAsia="TimesNewRomanPSMT" w:hAnsi="Arial" w:cs="Arial"/>
          <w:sz w:val="20"/>
          <w:szCs w:val="20"/>
          <w:lang w:val="uk-UA"/>
        </w:rPr>
        <w:t xml:space="preserve">. </w:t>
      </w:r>
      <w:r w:rsidR="00471711">
        <w:rPr>
          <w:rFonts w:ascii="Arial" w:eastAsia="TimesNewRomanPSMT" w:hAnsi="Arial" w:cs="Arial"/>
          <w:sz w:val="20"/>
          <w:szCs w:val="20"/>
          <w:lang w:val="uk-UA"/>
        </w:rPr>
        <w:t xml:space="preserve"> </w:t>
      </w:r>
    </w:p>
    <w:p w:rsidR="004628FA" w:rsidRP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5.    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Розгляд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директора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результати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фінансово-господарської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його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 </w:t>
      </w:r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Розгляд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висновків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р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евіз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й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ної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комісії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7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      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ічного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940BA" w:rsidRPr="00D940BA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8</w:t>
      </w:r>
      <w:r w:rsid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    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Обрання директора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</w:p>
    <w:p w:rsidR="007F41C1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9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    </w:t>
      </w:r>
      <w:r w:rsidR="008648C1">
        <w:rPr>
          <w:rFonts w:ascii="Arial" w:hAnsi="Arial" w:cs="Arial"/>
          <w:sz w:val="20"/>
          <w:szCs w:val="20"/>
          <w:lang w:val="uk-UA"/>
        </w:rPr>
        <w:t>Обрання членів Н</w:t>
      </w:r>
      <w:r w:rsidR="008648C1" w:rsidRPr="003542BC">
        <w:rPr>
          <w:rFonts w:ascii="Arial" w:hAnsi="Arial" w:cs="Arial"/>
          <w:sz w:val="20"/>
          <w:szCs w:val="20"/>
          <w:lang w:val="uk-UA"/>
        </w:rPr>
        <w:t>аглядової ради товариства</w:t>
      </w:r>
      <w:r w:rsidR="007F41C1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</w:p>
    <w:p w:rsidR="004628FA" w:rsidRPr="007F41C1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10</w:t>
      </w:r>
      <w:r w:rsid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  </w:t>
      </w:r>
      <w:r w:rsidR="004628FA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Затвердження порядку розподілу прибутку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за 2017 рік.</w:t>
      </w:r>
    </w:p>
    <w:p w:rsidR="007F4768" w:rsidRDefault="004628FA" w:rsidP="00803E3C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</w:t>
      </w:r>
      <w:r w:rsid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</w:t>
      </w:r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="007F4768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Прийняття рішення про попереднє схвалення значних правочинів, які можуть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7F4768" w:rsidRDefault="007F4768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вчинятися Товариством </w:t>
      </w:r>
      <w:proofErr w:type="spellStart"/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протяго</w:t>
      </w:r>
      <w:proofErr w:type="spellEnd"/>
      <w:r w:rsidRPr="007F47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 </w:t>
      </w:r>
      <w:proofErr w:type="spellStart"/>
      <w:r w:rsidRPr="007F47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року.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CE53F2" w:rsidRDefault="007F4768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2017році</w:t>
      </w:r>
      <w:r w:rsidR="004F7596"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 до </w:t>
      </w:r>
      <w:r w:rsid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4628FA" w:rsidRPr="004628FA" w:rsidRDefault="00CE53F2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моменту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2018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shd w:val="clear" w:color="auto" w:fill="F5F5F5"/>
        <w:spacing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Проекти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ішень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щодо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питань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включених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 проекту порядку денного: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лічильну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Голова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ічильної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3225" w:rsidRPr="00CC3225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</w:t>
      </w:r>
      <w:r w:rsidR="00CC3225" w:rsidRPr="00CC322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Arial" w:hAnsi="Arial" w:cs="Arial"/>
          <w:sz w:val="20"/>
          <w:szCs w:val="20"/>
          <w:lang w:val="uk-UA"/>
        </w:rPr>
        <w:t>Сердюченко</w:t>
      </w:r>
      <w:proofErr w:type="spellEnd"/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Т.І.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член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proofErr w:type="spellStart"/>
      <w:r w:rsidR="00157C57">
        <w:rPr>
          <w:rFonts w:ascii="Arial" w:eastAsia="Arial" w:hAnsi="Arial" w:cs="Arial"/>
          <w:sz w:val="20"/>
          <w:szCs w:val="20"/>
          <w:lang w:val="uk-UA"/>
        </w:rPr>
        <w:t>Бойченко</w:t>
      </w:r>
      <w:proofErr w:type="spellEnd"/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Л.Д.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порядок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спосіб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засвідчується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печаткою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складається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кількох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аркушів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повинен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пронумерованим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прошнурованим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печаткою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Головою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Гавлицького</w:t>
      </w:r>
      <w:proofErr w:type="spellEnd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І.І.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Секретарем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Сердюченко</w:t>
      </w:r>
      <w:proofErr w:type="spellEnd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Т.І.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порядок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(регламент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):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Оголошення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та проекту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Виступ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доповідача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– 15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Обговорення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та проекту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включаючи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дебати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тощо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– 10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– 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здійснюється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принципом: одна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голосуюча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один голос;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провести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 перерви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71711" w:rsidRPr="00471711" w:rsidRDefault="00471711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Наглядової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ради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за 2017 </w:t>
      </w:r>
      <w:proofErr w:type="spellStart"/>
      <w:proofErr w:type="gram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ік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директора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фінансово-господарської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висновки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Ревіз</w:t>
      </w:r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й</w:t>
      </w:r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ної</w:t>
      </w:r>
      <w:proofErr w:type="spellEnd"/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комісії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»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2017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41C1" w:rsidRDefault="007F41C1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Наглядову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раду в склад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і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осіб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</w:t>
      </w:r>
    </w:p>
    <w:p w:rsidR="004F7596" w:rsidRPr="004F7596" w:rsidRDefault="00CC3225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зв’язку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необхідністю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покриття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накопичених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непокритих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збитків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попередні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періоди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дивіденди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ідсумками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нараховувати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отримані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прибутки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покриття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збитків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минулих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періодів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5A4B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</w:p>
    <w:p w:rsidR="002C09DB" w:rsidRPr="002C09DB" w:rsidRDefault="007F4768" w:rsidP="002C09DB">
      <w:pPr>
        <w:pStyle w:val="a4"/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142" w:right="-426"/>
        <w:rPr>
          <w:rFonts w:eastAsia="Arial"/>
          <w:sz w:val="18"/>
          <w:szCs w:val="18"/>
        </w:rPr>
      </w:pP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Попередньо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схвалити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значних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суму, яка буде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перевищує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25%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вартості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даними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останньої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звітності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вчинятимуться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протягом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більш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як одного року з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прийняття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рішення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Уповноважити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голову правління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особу,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виконує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його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обов’язки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протягом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 (одного) року з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прийняття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здійснювати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імені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Товариством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до моменту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2018році.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Реєстрація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учасників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проводитись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та за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1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.00 до 1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.45 год. Дата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переліку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мають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на участь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5A4BF5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04.2018 року на 24 годину. Для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акціонерам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паспорт, 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паспорт 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доручення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інтереси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згідно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вимогами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чинного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законодавства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призначити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постійно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певний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строк.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у будь-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момент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замінити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повідомивши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виконавчий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бути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допомогою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засобів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електронного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зв'язку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законодавства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електронний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документообіг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Довіреність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містити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тобто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перелік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зазначенням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того, як і за яке (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потрібно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проголосувати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повинен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так, як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передбачено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довіреність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містить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вирішує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розсуд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надсилання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повідомлення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можуть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ознайомитись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документами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стосовно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робочі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09.00 до 17.00 год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адресою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 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68670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Одесь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 обл.,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м,Ізмаїл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,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вул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Лісна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будинок 5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кабінет№2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 день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Посадова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особа,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відповідальна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порядок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матеріалами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Гергі</w:t>
      </w:r>
      <w:proofErr w:type="spellEnd"/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Семен Петрович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C0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мають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надавати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письмові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запитання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внести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пропозиції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складу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Пропозиції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вносяться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урахуванням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вимог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ст.38 Закону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України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” не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ізніше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ніж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20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днів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2C0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Телефон для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довідок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(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0484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6-15-70.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</w:t>
      </w:r>
      <w:r w:rsidR="002C09DB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Адреса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веб-сайту,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якому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розміщено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інформацію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проектами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кожного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r w:rsidR="005A0E10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dorstrojagro@gmail.com </w:t>
      </w:r>
      <w:r w:rsid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0F074E" w:rsidRPr="002C09DB" w:rsidRDefault="00803E3C" w:rsidP="002C09DB">
      <w:pPr>
        <w:pStyle w:val="a4"/>
        <w:shd w:val="clear" w:color="auto" w:fill="F5F5F5"/>
        <w:spacing w:before="100" w:beforeAutospacing="1" w:after="300" w:afterAutospacing="1" w:line="240" w:lineRule="auto"/>
        <w:ind w:left="142" w:right="-426"/>
        <w:rPr>
          <w:rFonts w:eastAsia="Arial"/>
        </w:rPr>
      </w:pPr>
      <w:r w:rsidRPr="002C09DB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2C09DB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2C09DB">
        <w:rPr>
          <w:b/>
        </w:rPr>
        <w:t xml:space="preserve">  </w:t>
      </w:r>
      <w:proofErr w:type="spellStart"/>
      <w:r w:rsidR="000F074E" w:rsidRPr="002C09DB">
        <w:rPr>
          <w:b/>
        </w:rPr>
        <w:t>Основні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показники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фінансово-господарської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діяльності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rFonts w:eastAsia="Arial"/>
          <w:b/>
        </w:rPr>
        <w:t>товариств</w:t>
      </w:r>
      <w:proofErr w:type="gramStart"/>
      <w:r w:rsidR="000F074E" w:rsidRPr="002C09DB">
        <w:rPr>
          <w:rFonts w:eastAsia="Arial"/>
          <w:b/>
        </w:rPr>
        <w:t>а</w:t>
      </w:r>
      <w:proofErr w:type="spellEnd"/>
      <w:r w:rsidR="000F074E" w:rsidRPr="002C09DB">
        <w:rPr>
          <w:b/>
        </w:rPr>
        <w:t>(</w:t>
      </w:r>
      <w:proofErr w:type="spellStart"/>
      <w:proofErr w:type="gramEnd"/>
      <w:r w:rsidR="000F074E" w:rsidRPr="002C09DB">
        <w:rPr>
          <w:b/>
        </w:rPr>
        <w:t>тис.грн</w:t>
      </w:r>
      <w:proofErr w:type="spellEnd"/>
      <w:r w:rsidR="000F074E" w:rsidRPr="002C09DB">
        <w:t>.)</w:t>
      </w:r>
    </w:p>
    <w:tbl>
      <w:tblPr>
        <w:tblW w:w="10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81"/>
        <w:gridCol w:w="1984"/>
        <w:gridCol w:w="2030"/>
      </w:tblGrid>
      <w:tr w:rsidR="000F074E" w:rsidRPr="000F074E" w:rsidTr="005A0E10">
        <w:trPr>
          <w:cantSplit/>
        </w:trPr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proofErr w:type="spellStart"/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Найменуванняпоказника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</w:t>
            </w:r>
          </w:p>
        </w:tc>
      </w:tr>
      <w:tr w:rsidR="000F074E" w:rsidRPr="000F074E" w:rsidTr="00803E3C">
        <w:trPr>
          <w:trHeight w:val="170"/>
        </w:trPr>
        <w:tc>
          <w:tcPr>
            <w:tcW w:w="6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2017рік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2016рік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2534,6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3466,0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proofErr w:type="spellStart"/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Основнізасоби</w:t>
            </w:r>
            <w:proofErr w:type="spellEnd"/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(залишкова вартість)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273,2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221,1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1189,5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616,2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ind w:left="-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1067,3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1226,5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1398,5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Нерозподілений прибуток 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346,3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362,2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222,5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222,5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0,1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Довгострокові зобов</w:t>
            </w:r>
            <w:r w:rsidRPr="0062710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’</w:t>
            </w: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3,6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364,2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Поточні зобов</w:t>
            </w:r>
            <w:r w:rsidRPr="0062710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’</w:t>
            </w: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1962,1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2517,0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8,2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133,8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Середньорічна кількість акцій(шт.)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власних акцій,викуплених протягом періоду(шт.)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сума коштів,витрачених  на викуп власних акцій протягом періоду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Чисельність працівників на кінець періоду(осіб)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 w:rsidP="00113960">
            <w:pPr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</w:tbl>
    <w:p w:rsidR="00113960" w:rsidRDefault="00113960" w:rsidP="005A0E10"/>
    <w:p w:rsidR="00113960" w:rsidRDefault="005A0E10" w:rsidP="00113960">
      <w:pPr>
        <w:shd w:val="clear" w:color="auto" w:fill="FFFFFF"/>
        <w:spacing w:after="300"/>
      </w:pPr>
      <w:r w:rsidRPr="005A0E10">
        <w:t xml:space="preserve">Тел.  0484161570    </w:t>
      </w:r>
      <w:proofErr w:type="spellStart"/>
      <w:r w:rsidRPr="005A0E10">
        <w:t>Наглядова</w:t>
      </w:r>
      <w:proofErr w:type="spellEnd"/>
      <w:r w:rsidRPr="005A0E10">
        <w:t xml:space="preserve"> рада     </w:t>
      </w:r>
    </w:p>
    <w:p w:rsidR="00113960" w:rsidRPr="00113960" w:rsidRDefault="005A0E10" w:rsidP="00113960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13960">
        <w:t xml:space="preserve"> 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Повідомлення про проведення чергових Загальних зборів опубліковано в 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Бюлетні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"В</w:t>
      </w:r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домост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Нац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ональної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ком</w:t>
      </w:r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с</w:t>
      </w:r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ї з ц</w:t>
      </w:r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нних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папер</w:t>
      </w:r>
      <w:proofErr w:type="spellEnd"/>
      <w:r w:rsidR="00113960" w:rsidRPr="0011396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 та фондового ринку"  № </w:t>
      </w:r>
      <w:r w:rsidR="00113960">
        <w:rPr>
          <w:rFonts w:ascii="Times New Roman" w:eastAsia="Times New Roman" w:hAnsi="Times New Roman" w:cs="Times New Roman"/>
          <w:color w:val="000000"/>
          <w:lang w:val="uk-UA" w:eastAsia="ru-RU"/>
        </w:rPr>
        <w:t>59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від</w:t>
      </w:r>
      <w:r w:rsidR="0011396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27.03.</w:t>
      </w:r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2018</w:t>
      </w:r>
      <w:r w:rsidR="00113960">
        <w:rPr>
          <w:rFonts w:ascii="Times New Roman" w:eastAsia="Times New Roman" w:hAnsi="Times New Roman" w:cs="Times New Roman"/>
          <w:color w:val="000000"/>
          <w:lang w:val="uk-UA" w:eastAsia="ru-RU"/>
        </w:rPr>
        <w:t>р.</w:t>
      </w:r>
      <w:bookmarkStart w:id="0" w:name="_GoBack"/>
      <w:bookmarkEnd w:id="0"/>
      <w:r w:rsidR="00113960" w:rsidRPr="00113960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113960" w:rsidRPr="00113960" w:rsidRDefault="00113960" w:rsidP="005A0E10">
      <w:pPr>
        <w:rPr>
          <w:lang w:val="uk-UA"/>
        </w:rPr>
      </w:pPr>
    </w:p>
    <w:p w:rsidR="00720648" w:rsidRDefault="005A0E10" w:rsidP="005A0E10">
      <w:r w:rsidRPr="005A0E10">
        <w:t xml:space="preserve">        </w:t>
      </w:r>
    </w:p>
    <w:sectPr w:rsidR="00720648" w:rsidSect="006141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1F2"/>
    <w:multiLevelType w:val="hybridMultilevel"/>
    <w:tmpl w:val="0E0AF482"/>
    <w:lvl w:ilvl="0" w:tplc="F6CC8DE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1653D"/>
    <w:multiLevelType w:val="multilevel"/>
    <w:tmpl w:val="4EA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C6"/>
    <w:rsid w:val="000F074E"/>
    <w:rsid w:val="00113960"/>
    <w:rsid w:val="00157C57"/>
    <w:rsid w:val="002C09DB"/>
    <w:rsid w:val="003309C6"/>
    <w:rsid w:val="004628FA"/>
    <w:rsid w:val="00471711"/>
    <w:rsid w:val="004F7596"/>
    <w:rsid w:val="005349DD"/>
    <w:rsid w:val="005A0E10"/>
    <w:rsid w:val="005A4BF5"/>
    <w:rsid w:val="006141A4"/>
    <w:rsid w:val="00627101"/>
    <w:rsid w:val="00720648"/>
    <w:rsid w:val="007F41C1"/>
    <w:rsid w:val="007F4768"/>
    <w:rsid w:val="00803E3C"/>
    <w:rsid w:val="008648C1"/>
    <w:rsid w:val="008F2572"/>
    <w:rsid w:val="00B11C76"/>
    <w:rsid w:val="00BC6407"/>
    <w:rsid w:val="00CA4D13"/>
    <w:rsid w:val="00CC3225"/>
    <w:rsid w:val="00CE53F2"/>
    <w:rsid w:val="00D940BA"/>
    <w:rsid w:val="00E65B11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7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768"/>
    <w:pPr>
      <w:ind w:left="720"/>
      <w:contextualSpacing/>
    </w:pPr>
  </w:style>
  <w:style w:type="character" w:styleId="a5">
    <w:name w:val="Emphasis"/>
    <w:basedOn w:val="a0"/>
    <w:uiPriority w:val="20"/>
    <w:qFormat/>
    <w:rsid w:val="005A0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7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768"/>
    <w:pPr>
      <w:ind w:left="720"/>
      <w:contextualSpacing/>
    </w:pPr>
  </w:style>
  <w:style w:type="character" w:styleId="a5">
    <w:name w:val="Emphasis"/>
    <w:basedOn w:val="a0"/>
    <w:uiPriority w:val="20"/>
    <w:qFormat/>
    <w:rsid w:val="005A0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70BD-69B4-4B89-BE05-079CE8F5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2</cp:revision>
  <cp:lastPrinted>2018-03-26T13:22:00Z</cp:lastPrinted>
  <dcterms:created xsi:type="dcterms:W3CDTF">2018-03-26T13:25:00Z</dcterms:created>
  <dcterms:modified xsi:type="dcterms:W3CDTF">2018-03-26T13:25:00Z</dcterms:modified>
</cp:coreProperties>
</file>